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单元整体教学设计</w:t>
      </w:r>
    </w:p>
    <w:p>
      <w:pPr>
        <w:jc w:val="center"/>
      </w:pPr>
      <w:r>
        <w:rPr>
          <w:i/>
          <w:color w:val="888888"/>
          <w:sz w:val="17"/>
        </w:rPr>
        <w:t>【使用说明】大单元/大概念教学用；先整体规划再落实到课时。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单元名称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学科 / 年级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单元课时总数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单元大概念 / 大任务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本单元围绕的核心概念或真实情境任务</w:t>
            </w:r>
          </w:p>
          <w:p/>
          <w:p/>
        </w:tc>
      </w:tr>
      <w:tr>
        <w:tc>
          <w:tcPr>
            <w:tcW w:type="dxa" w:w="2041"/>
          </w:tcPr>
          <w:p>
            <w:r>
              <w:t>课标要求分解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将课标内容要求分解为本单元可落实的条目</w:t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单元学习目标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单元评价设计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过程性评价 + 终结性评价方式</w:t>
            </w:r>
          </w:p>
          <w:p/>
          <w:p/>
        </w:tc>
      </w:tr>
    </w:tbl>
    <w:p/>
    <w:p>
      <w:r>
        <w:rPr>
          <w:b/>
          <w:sz w:val="23"/>
        </w:rPr>
        <w:t>课时规划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  <w:sz w:val="20"/>
              </w:rPr>
              <w:t>课时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课题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课时目标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主要任务/活动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评价任务</w:t>
            </w:r>
          </w:p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单元作业设计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整体规划各课时作业，控制总量，体现分层</w:t>
            </w:r>
          </w:p>
          <w:p/>
          <w:p/>
          <w:p/>
        </w:tc>
      </w:tr>
      <w:tr>
        <w:tc>
          <w:tcPr>
            <w:tcW w:type="dxa" w:w="2041"/>
          </w:tcPr>
          <w:p>
            <w:r>
              <w:t>资源与工具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实验器材/数字资源/学案等</w:t>
            </w:r>
          </w:p>
          <w:p/>
          <w:p/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